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9B7" w:rsidRDefault="00AF69B7" w:rsidP="00AF69B7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b/>
          <w:bCs/>
          <w:color w:val="444444"/>
          <w:sz w:val="21"/>
          <w:szCs w:val="21"/>
          <w:lang w:eastAsia="it-IT"/>
        </w:rPr>
      </w:pPr>
    </w:p>
    <w:p w:rsidR="00AF69B7" w:rsidRPr="00DA2854" w:rsidRDefault="00AF69B7" w:rsidP="00AF69B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rebuchet MS" w:eastAsia="Times New Roman" w:hAnsi="Trebuchet MS" w:cs="Times New Roman"/>
          <w:b/>
          <w:i/>
          <w:color w:val="2E74B5" w:themeColor="accent1" w:themeShade="BF"/>
          <w:sz w:val="21"/>
          <w:szCs w:val="21"/>
          <w:u w:val="single"/>
          <w:lang w:eastAsia="it-IT"/>
        </w:rPr>
      </w:pPr>
      <w:bookmarkStart w:id="0" w:name="_GoBack"/>
      <w:r w:rsidRPr="00DA2854">
        <w:rPr>
          <w:rFonts w:ascii="Trebuchet MS" w:eastAsia="Times New Roman" w:hAnsi="Trebuchet MS" w:cs="Times New Roman"/>
          <w:b/>
          <w:i/>
          <w:color w:val="2E74B5" w:themeColor="accent1" w:themeShade="BF"/>
          <w:sz w:val="21"/>
          <w:szCs w:val="21"/>
          <w:u w:val="single"/>
          <w:lang w:eastAsia="it-IT"/>
        </w:rPr>
        <w:t>Legenda MONITORAGGIO EX ANTE</w:t>
      </w:r>
    </w:p>
    <w:bookmarkEnd w:id="0"/>
    <w:p w:rsidR="00AF69B7" w:rsidRPr="00AF69B7" w:rsidRDefault="00AF69B7" w:rsidP="00AF69B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</w:pPr>
    </w:p>
    <w:p w:rsidR="00AF69B7" w:rsidRPr="00AF69B7" w:rsidRDefault="00AF69B7" w:rsidP="00AF69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</w:pPr>
      <w:r w:rsidRPr="00AF69B7">
        <w:rPr>
          <w:rFonts w:ascii="Trebuchet MS" w:eastAsia="Times New Roman" w:hAnsi="Trebuchet MS" w:cs="Times New Roman"/>
          <w:b/>
          <w:bCs/>
          <w:color w:val="2E74B5" w:themeColor="accent1" w:themeShade="BF"/>
          <w:sz w:val="21"/>
          <w:szCs w:val="21"/>
          <w:lang w:eastAsia="it-IT"/>
        </w:rPr>
        <w:t xml:space="preserve">Nome </w:t>
      </w:r>
      <w:proofErr w:type="gramStart"/>
      <w:r w:rsidRPr="00AF69B7">
        <w:rPr>
          <w:rFonts w:ascii="Trebuchet MS" w:eastAsia="Times New Roman" w:hAnsi="Trebuchet MS" w:cs="Times New Roman"/>
          <w:b/>
          <w:bCs/>
          <w:color w:val="2E74B5" w:themeColor="accent1" w:themeShade="BF"/>
          <w:sz w:val="21"/>
          <w:szCs w:val="21"/>
          <w:lang w:eastAsia="it-IT"/>
        </w:rPr>
        <w:t>Prestazione</w:t>
      </w:r>
      <w:r w:rsidRPr="00AF69B7">
        <w:rPr>
          <w:rFonts w:ascii="Trebuchet MS" w:eastAsia="Times New Roman" w:hAnsi="Trebuchet MS" w:cs="Times New Roman"/>
          <w:color w:val="2E74B5" w:themeColor="accent1" w:themeShade="BF"/>
          <w:sz w:val="21"/>
          <w:szCs w:val="21"/>
          <w:lang w:eastAsia="it-IT"/>
        </w:rPr>
        <w:t> </w:t>
      </w:r>
      <w:r w:rsidRPr="00AF69B7"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  <w:t>:</w:t>
      </w:r>
      <w:proofErr w:type="gramEnd"/>
      <w:r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  <w:t xml:space="preserve"> </w:t>
      </w:r>
      <w:r w:rsidRPr="00AF69B7"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  <w:t>nome della prestazione sentinella</w:t>
      </w:r>
    </w:p>
    <w:p w:rsidR="00AF69B7" w:rsidRPr="00AF69B7" w:rsidRDefault="00AF69B7" w:rsidP="00AF69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</w:pPr>
      <w:r w:rsidRPr="00AF69B7">
        <w:rPr>
          <w:rFonts w:ascii="Trebuchet MS" w:eastAsia="Times New Roman" w:hAnsi="Trebuchet MS" w:cs="Times New Roman"/>
          <w:b/>
          <w:bCs/>
          <w:color w:val="2E74B5" w:themeColor="accent1" w:themeShade="BF"/>
          <w:sz w:val="21"/>
          <w:szCs w:val="21"/>
          <w:lang w:eastAsia="it-IT"/>
        </w:rPr>
        <w:t>Codice nuovi LEA</w:t>
      </w:r>
      <w:r w:rsidRPr="00AF69B7"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  <w:t>: codice ministeriale della prestazione sentinella (LEA)</w:t>
      </w:r>
    </w:p>
    <w:p w:rsidR="00AF69B7" w:rsidRPr="00AF69B7" w:rsidRDefault="00AF69B7" w:rsidP="00AF69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</w:pPr>
      <w:r w:rsidRPr="00AF69B7">
        <w:rPr>
          <w:rFonts w:ascii="Trebuchet MS" w:eastAsia="Times New Roman" w:hAnsi="Trebuchet MS" w:cs="Times New Roman"/>
          <w:b/>
          <w:bCs/>
          <w:color w:val="2E74B5" w:themeColor="accent1" w:themeShade="BF"/>
          <w:sz w:val="21"/>
          <w:szCs w:val="21"/>
          <w:lang w:eastAsia="it-IT"/>
        </w:rPr>
        <w:t>Numero totale di prenotazioni</w:t>
      </w:r>
      <w:r w:rsidRPr="00AF69B7"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  <w:t>: numero totale delle prestazioni prenotate</w:t>
      </w:r>
    </w:p>
    <w:p w:rsidR="00AF69B7" w:rsidRPr="00AF69B7" w:rsidRDefault="00AF69B7" w:rsidP="00AF69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</w:pPr>
      <w:r w:rsidRPr="00AF69B7">
        <w:rPr>
          <w:rFonts w:ascii="Trebuchet MS" w:eastAsia="Times New Roman" w:hAnsi="Trebuchet MS" w:cs="Times New Roman"/>
          <w:b/>
          <w:bCs/>
          <w:color w:val="2E74B5" w:themeColor="accent1" w:themeShade="BF"/>
          <w:sz w:val="21"/>
          <w:szCs w:val="21"/>
          <w:lang w:eastAsia="it-IT"/>
        </w:rPr>
        <w:t>Numero prenotazioni da garantire</w:t>
      </w:r>
      <w:r w:rsidRPr="00AF69B7"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  <w:t>:</w:t>
      </w:r>
      <w:r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  <w:t xml:space="preserve"> </w:t>
      </w:r>
      <w:r w:rsidRPr="00AF69B7"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  <w:t>numero di prenotazioni per le quali il paziente ha accettato la prima disponibilità</w:t>
      </w:r>
    </w:p>
    <w:p w:rsidR="00AF69B7" w:rsidRPr="00AF69B7" w:rsidRDefault="00AF69B7" w:rsidP="00AF69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</w:pPr>
      <w:r w:rsidRPr="00AF69B7">
        <w:rPr>
          <w:rFonts w:ascii="Trebuchet MS" w:eastAsia="Times New Roman" w:hAnsi="Trebuchet MS" w:cs="Times New Roman"/>
          <w:b/>
          <w:bCs/>
          <w:color w:val="2E74B5" w:themeColor="accent1" w:themeShade="BF"/>
          <w:sz w:val="21"/>
          <w:szCs w:val="21"/>
          <w:lang w:eastAsia="it-IT"/>
        </w:rPr>
        <w:t>Numero prenotazioni con classe di priorità B</w:t>
      </w:r>
      <w:r w:rsidRPr="00AF69B7"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  <w:t>: numero di prenotazioni da garantire con classe di priorità B</w:t>
      </w:r>
    </w:p>
    <w:p w:rsidR="00AF69B7" w:rsidRPr="00AF69B7" w:rsidRDefault="00AF69B7" w:rsidP="00AF69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</w:pPr>
      <w:r w:rsidRPr="00AF69B7">
        <w:rPr>
          <w:rFonts w:ascii="Trebuchet MS" w:eastAsia="Times New Roman" w:hAnsi="Trebuchet MS" w:cs="Times New Roman"/>
          <w:b/>
          <w:bCs/>
          <w:color w:val="2E74B5" w:themeColor="accent1" w:themeShade="BF"/>
          <w:sz w:val="21"/>
          <w:szCs w:val="21"/>
          <w:lang w:eastAsia="it-IT"/>
        </w:rPr>
        <w:t>Percentuale di prenotazioni con priorità B</w:t>
      </w:r>
      <w:r w:rsidRPr="00AF69B7"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  <w:t>: rapporto tra le prestazioni erogate entro i tempi previsti dalla classe di priorità e le prestazioni da garantire per la classe di priorità B</w:t>
      </w:r>
    </w:p>
    <w:p w:rsidR="00AF69B7" w:rsidRPr="00AF69B7" w:rsidRDefault="00AF69B7" w:rsidP="00AF69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</w:pPr>
      <w:r w:rsidRPr="00AF69B7">
        <w:rPr>
          <w:rFonts w:ascii="Trebuchet MS" w:eastAsia="Times New Roman" w:hAnsi="Trebuchet MS" w:cs="Times New Roman"/>
          <w:b/>
          <w:bCs/>
          <w:color w:val="2E74B5" w:themeColor="accent1" w:themeShade="BF"/>
          <w:sz w:val="21"/>
          <w:szCs w:val="21"/>
          <w:lang w:eastAsia="it-IT"/>
        </w:rPr>
        <w:t>Numero prenotazioni con classe di priorità B</w:t>
      </w:r>
      <w:r w:rsidRPr="00AF69B7"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  <w:t>: rapporto tra le prestazioni erogate entro i tempi previsti dalla classe di priorità e le prestazioni da garantire per la classe di priorità B</w:t>
      </w:r>
    </w:p>
    <w:p w:rsidR="00AF69B7" w:rsidRPr="00AF69B7" w:rsidRDefault="00AF69B7" w:rsidP="00AF69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</w:pPr>
      <w:r w:rsidRPr="00AF69B7">
        <w:rPr>
          <w:rFonts w:ascii="Trebuchet MS" w:eastAsia="Times New Roman" w:hAnsi="Trebuchet MS" w:cs="Times New Roman"/>
          <w:b/>
          <w:bCs/>
          <w:color w:val="2E74B5" w:themeColor="accent1" w:themeShade="BF"/>
          <w:sz w:val="21"/>
          <w:szCs w:val="21"/>
          <w:lang w:eastAsia="it-IT"/>
        </w:rPr>
        <w:t>Numero prenotazioni con classe di priorità D</w:t>
      </w:r>
      <w:r w:rsidRPr="00AF69B7"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  <w:t>: numero di prenotazioni da garantire con classe di priorità D</w:t>
      </w:r>
    </w:p>
    <w:p w:rsidR="00AF69B7" w:rsidRPr="00AF69B7" w:rsidRDefault="00AF69B7" w:rsidP="00AF69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</w:pPr>
      <w:r w:rsidRPr="00AF69B7">
        <w:rPr>
          <w:rFonts w:ascii="Trebuchet MS" w:eastAsia="Times New Roman" w:hAnsi="Trebuchet MS" w:cs="Times New Roman"/>
          <w:b/>
          <w:bCs/>
          <w:color w:val="2E74B5" w:themeColor="accent1" w:themeShade="BF"/>
          <w:sz w:val="21"/>
          <w:szCs w:val="21"/>
          <w:lang w:eastAsia="it-IT"/>
        </w:rPr>
        <w:t>Percentuale di prenotazioni con priorità D</w:t>
      </w:r>
      <w:r w:rsidRPr="00AF69B7">
        <w:rPr>
          <w:rFonts w:ascii="Trebuchet MS" w:eastAsia="Times New Roman" w:hAnsi="Trebuchet MS" w:cs="Times New Roman"/>
          <w:color w:val="444444"/>
          <w:sz w:val="21"/>
          <w:szCs w:val="21"/>
          <w:lang w:eastAsia="it-IT"/>
        </w:rPr>
        <w:t>: rapporto tra le prestazioni erogate entro i tempi previsti dalla classe di priorità e le prestazioni da garantire per la classe di priorità D</w:t>
      </w:r>
    </w:p>
    <w:p w:rsidR="00ED39FB" w:rsidRDefault="00ED39FB"/>
    <w:sectPr w:rsidR="00ED39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A4935"/>
    <w:multiLevelType w:val="multilevel"/>
    <w:tmpl w:val="938E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E75"/>
    <w:rsid w:val="003B7E75"/>
    <w:rsid w:val="00AF69B7"/>
    <w:rsid w:val="00DA2854"/>
    <w:rsid w:val="00ED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154EF"/>
  <w15:chartTrackingRefBased/>
  <w15:docId w15:val="{FA797901-7C21-41CB-B3AC-47E2AFE28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manzo - Collaboratore Tecnico Professionale Informatico</dc:creator>
  <cp:keywords/>
  <dc:description/>
  <cp:lastModifiedBy>francesco manzo - Collaboratore Tecnico Professionale Informatico</cp:lastModifiedBy>
  <cp:revision>3</cp:revision>
  <dcterms:created xsi:type="dcterms:W3CDTF">2025-03-18T13:30:00Z</dcterms:created>
  <dcterms:modified xsi:type="dcterms:W3CDTF">2025-03-18T13:31:00Z</dcterms:modified>
</cp:coreProperties>
</file>